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13167">
        <w:rPr>
          <w:rFonts w:ascii="Arial" w:hAnsi="Arial" w:cs="Arial"/>
          <w:color w:val="000000"/>
          <w:sz w:val="20"/>
          <w:szCs w:val="20"/>
        </w:rPr>
        <w:t>March 14</w:t>
      </w:r>
      <w:r w:rsidR="001909DD">
        <w:rPr>
          <w:rFonts w:ascii="Arial" w:hAnsi="Arial" w:cs="Arial"/>
          <w:color w:val="000000"/>
          <w:sz w:val="20"/>
          <w:szCs w:val="20"/>
        </w:rPr>
        <w:t>, 201</w:t>
      </w:r>
      <w:r w:rsidR="00813167">
        <w:rPr>
          <w:rFonts w:ascii="Arial" w:hAnsi="Arial" w:cs="Arial"/>
          <w:color w:val="000000"/>
          <w:sz w:val="20"/>
          <w:szCs w:val="20"/>
        </w:rPr>
        <w:t>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813167" w:rsidRDefault="00813167" w:rsidP="00813167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Jane Cassidy, Tommy Smith, Mette Gaarde, Sheri Thompson (proxy for Andrea Ballinger), Camille Faircloth (proxy for Jason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David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Trepagnier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Jr (proxy for Jimmy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Mickler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Aaron Harrington, Erica Borne, Ashton Vaughn and Rene Petit.</w:t>
      </w:r>
    </w:p>
    <w:p w:rsidR="00813167" w:rsidRPr="0029044D" w:rsidRDefault="00813167" w:rsidP="00813167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813167" w:rsidP="007C7260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Kurt Keppler, Brian Antie, Tyler Kearney, John Duplantis, Aimee Riggs and Amanda Marshall.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B2573" w:rsidRPr="0029044D" w:rsidRDefault="009B6070" w:rsidP="007C7260">
      <w:pPr>
        <w:pStyle w:val="NormalWeb"/>
        <w:spacing w:before="0" w:beforeAutospacing="0" w:after="240" w:afterAutospacing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813167">
        <w:rPr>
          <w:rFonts w:ascii="Arial" w:hAnsi="Arial" w:cs="Arial"/>
          <w:color w:val="000000"/>
          <w:sz w:val="20"/>
          <w:szCs w:val="20"/>
        </w:rPr>
        <w:t>February 28, 2018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4644A0">
        <w:rPr>
          <w:rFonts w:ascii="Arial" w:hAnsi="Arial" w:cs="Arial"/>
          <w:color w:val="000000"/>
          <w:sz w:val="20"/>
          <w:szCs w:val="20"/>
        </w:rPr>
        <w:t>3:00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7C7260" w:rsidRDefault="00B73054" w:rsidP="00F734C3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7C7260">
        <w:rPr>
          <w:rFonts w:ascii="Arial" w:hAnsi="Arial" w:cs="Arial"/>
          <w:b/>
          <w:sz w:val="20"/>
          <w:szCs w:val="20"/>
        </w:rPr>
        <w:t>Old Business.</w:t>
      </w:r>
      <w:r w:rsidR="00177637" w:rsidRPr="007C726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3C478F" w:rsidRDefault="004644A0" w:rsidP="00DE75C3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12675F">
        <w:rPr>
          <w:rFonts w:ascii="Arial" w:hAnsi="Arial" w:cs="Arial"/>
          <w:b/>
          <w:bCs/>
          <w:color w:val="000000"/>
          <w:sz w:val="20"/>
          <w:szCs w:val="20"/>
        </w:rPr>
        <w:t>February 28, 2018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02392E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Rene Petit</w:t>
      </w:r>
      <w:r w:rsidR="00175B83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Erica Borne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seconded the motion.</w:t>
      </w:r>
      <w:r w:rsidR="00F06737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>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DE75C3">
        <w:rPr>
          <w:rFonts w:ascii="Arial" w:hAnsi="Arial" w:cs="Arial"/>
          <w:b/>
          <w:bCs/>
          <w:color w:val="000000"/>
          <w:sz w:val="20"/>
          <w:szCs w:val="20"/>
        </w:rPr>
        <w:t>Discipline Specific Proposal Discussion</w:t>
      </w:r>
    </w:p>
    <w:p w:rsidR="000E4B22" w:rsidRDefault="000E4B22" w:rsidP="000E4B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discipline specific proposals, beginning with the proposals receiving the highest ranking by committee members.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discussing individual proposals, as well as the overall distribution of the funds, the following discipline specific proposals were approved</w:t>
      </w:r>
      <w:r w:rsidR="00420A22">
        <w:rPr>
          <w:rFonts w:ascii="Arial" w:hAnsi="Arial" w:cs="Arial"/>
          <w:sz w:val="20"/>
          <w:szCs w:val="20"/>
        </w:rPr>
        <w:t xml:space="preserve"> for funding</w:t>
      </w:r>
      <w:r>
        <w:rPr>
          <w:rFonts w:ascii="Arial" w:hAnsi="Arial" w:cs="Arial"/>
          <w:sz w:val="20"/>
          <w:szCs w:val="20"/>
        </w:rPr>
        <w:t>:</w:t>
      </w:r>
    </w:p>
    <w:p w:rsidR="00CE2062" w:rsidRDefault="00CE2062" w:rsidP="000E4B22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625" w:type="dxa"/>
        <w:tblLayout w:type="fixed"/>
        <w:tblLook w:val="04A0" w:firstRow="1" w:lastRow="0" w:firstColumn="1" w:lastColumn="0" w:noHBand="0" w:noVBand="1"/>
        <w:tblCaption w:val="STF projects approved by college, name and amount"/>
      </w:tblPr>
      <w:tblGrid>
        <w:gridCol w:w="1615"/>
        <w:gridCol w:w="6480"/>
        <w:gridCol w:w="1530"/>
      </w:tblGrid>
      <w:tr w:rsidR="0002392E" w:rsidTr="007C7260">
        <w:trPr>
          <w:trHeight w:val="600"/>
          <w:tblHeader/>
        </w:trPr>
        <w:tc>
          <w:tcPr>
            <w:tcW w:w="1615" w:type="dxa"/>
            <w:noWrap/>
            <w:hideMark/>
          </w:tcPr>
          <w:p w:rsidR="008D7054" w:rsidRDefault="008D7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College/Unit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 Description</w:t>
            </w:r>
          </w:p>
        </w:tc>
        <w:tc>
          <w:tcPr>
            <w:tcW w:w="1530" w:type="dxa"/>
            <w:hideMark/>
          </w:tcPr>
          <w:p w:rsidR="0002392E" w:rsidRDefault="0002392E" w:rsidP="000239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Approved Amount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Interdepartmental (Digital Agriculture Laboratory)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$68,981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 &amp; Design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Interdepartmental (The Mixed Reality Garage - Art &amp; Design Labs)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$116,551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 (Replace Computers in Student Computer Lab)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$64,576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&amp; Industrial Engineering (LSU Robotics = Engineering + Art + Design)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$78,025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Chevron Center for Engineering Ed (Modern Rapid Prototypes for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MakerSpace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Enhancement)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$27,050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Communication Sciences &amp; Disorders (Updating Tech in Classroom &amp; Clinical Practice)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$45,692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Technology Initiatives (Middleton Library Digital Signage)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$30,800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Mass Communication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Mass Communication (Journalism Classroom Upgrade)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$49,879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Music &amp; Dramatic Arts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Music (CMDA 21st Century Labs)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$87,087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Music &amp; Dramatic Arts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Theatre (Digital Technologies for Entertainment)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$60,907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Science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Physics &amp; Astronomy (Enhancement of Lecture Demonstration &amp; Teaching Lab)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$30,782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Chemistry (Benchtop NMReady-60Pro Spectrometers)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$120,000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Affairs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Disability Services (Disability Services Computer-Based Testing)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$66,800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Affairs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Center for Academic Success (Online Tutoring for LSU Students)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$20,000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392E" w:rsidTr="007C7260">
        <w:trPr>
          <w:trHeight w:val="300"/>
        </w:trPr>
        <w:tc>
          <w:tcPr>
            <w:tcW w:w="1615" w:type="dxa"/>
            <w:noWrap/>
            <w:hideMark/>
          </w:tcPr>
          <w:p w:rsidR="0002392E" w:rsidRDefault="00023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0" w:type="dxa"/>
            <w:noWrap/>
            <w:hideMark/>
          </w:tcPr>
          <w:p w:rsidR="0002392E" w:rsidRDefault="00023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0" w:type="dxa"/>
            <w:noWrap/>
            <w:hideMark/>
          </w:tcPr>
          <w:p w:rsidR="0002392E" w:rsidRDefault="00023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$867,130</w:t>
            </w:r>
          </w:p>
        </w:tc>
      </w:tr>
    </w:tbl>
    <w:p w:rsidR="002A36FA" w:rsidRDefault="002A36FA" w:rsidP="002A36FA">
      <w:pPr>
        <w:ind w:left="720"/>
        <w:rPr>
          <w:rFonts w:ascii="Arial" w:hAnsi="Arial" w:cs="Arial"/>
          <w:sz w:val="20"/>
          <w:szCs w:val="20"/>
        </w:rPr>
      </w:pPr>
    </w:p>
    <w:p w:rsidR="00253E8A" w:rsidRDefault="00253E8A" w:rsidP="002A36FA">
      <w:pPr>
        <w:ind w:left="720"/>
        <w:rPr>
          <w:rFonts w:ascii="Arial" w:hAnsi="Arial" w:cs="Arial"/>
          <w:sz w:val="20"/>
          <w:szCs w:val="20"/>
        </w:rPr>
      </w:pPr>
    </w:p>
    <w:p w:rsidR="002A36FA" w:rsidRPr="008D1F9D" w:rsidRDefault="002A36FA" w:rsidP="002A36F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total of these </w:t>
      </w:r>
      <w:r w:rsidR="00152CF8">
        <w:rPr>
          <w:rFonts w:ascii="Arial" w:hAnsi="Arial" w:cs="Arial"/>
          <w:sz w:val="20"/>
          <w:szCs w:val="20"/>
        </w:rPr>
        <w:t>14</w:t>
      </w:r>
      <w:r w:rsidR="00F06737">
        <w:rPr>
          <w:rFonts w:ascii="Arial" w:hAnsi="Arial" w:cs="Arial"/>
          <w:sz w:val="20"/>
          <w:szCs w:val="20"/>
        </w:rPr>
        <w:t xml:space="preserve"> </w:t>
      </w:r>
      <w:r w:rsidR="008B6FE8">
        <w:rPr>
          <w:rFonts w:ascii="Arial" w:hAnsi="Arial" w:cs="Arial"/>
          <w:sz w:val="20"/>
          <w:szCs w:val="20"/>
        </w:rPr>
        <w:t xml:space="preserve">projects </w:t>
      </w:r>
      <w:r w:rsidR="00152CF8">
        <w:rPr>
          <w:rFonts w:ascii="Arial" w:hAnsi="Arial" w:cs="Arial"/>
          <w:sz w:val="20"/>
          <w:szCs w:val="20"/>
        </w:rPr>
        <w:t>is $867,130</w:t>
      </w:r>
      <w:r>
        <w:rPr>
          <w:rFonts w:ascii="Arial" w:hAnsi="Arial" w:cs="Arial"/>
          <w:sz w:val="20"/>
          <w:szCs w:val="20"/>
        </w:rPr>
        <w:t>,</w:t>
      </w:r>
      <w:r w:rsidR="00152CF8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the allotted discipline specific budget of $</w:t>
      </w:r>
      <w:r w:rsidR="00152CF8">
        <w:rPr>
          <w:rFonts w:ascii="Arial" w:hAnsi="Arial" w:cs="Arial"/>
          <w:sz w:val="20"/>
          <w:szCs w:val="20"/>
        </w:rPr>
        <w:t>850,000-$950,000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ListParagraph"/>
        <w:rPr>
          <w:rFonts w:ascii="Arial" w:hAnsi="Arial" w:cs="Arial"/>
          <w:sz w:val="20"/>
          <w:szCs w:val="20"/>
        </w:rPr>
      </w:pPr>
    </w:p>
    <w:p w:rsidR="002A36FA" w:rsidRDefault="0012675F" w:rsidP="002A36F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</w:t>
      </w:r>
      <w:proofErr w:type="spellStart"/>
      <w:r>
        <w:rPr>
          <w:rFonts w:ascii="Arial" w:hAnsi="Arial" w:cs="Arial"/>
          <w:sz w:val="20"/>
          <w:szCs w:val="20"/>
        </w:rPr>
        <w:t>Trepagnier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 xml:space="preserve">motioned to approve these proposals as discussed above; </w:t>
      </w:r>
      <w:r>
        <w:rPr>
          <w:rFonts w:ascii="Arial" w:hAnsi="Arial" w:cs="Arial"/>
          <w:sz w:val="20"/>
          <w:szCs w:val="20"/>
        </w:rPr>
        <w:t>Erica Borne</w:t>
      </w:r>
      <w:r w:rsidR="002A36FA">
        <w:rPr>
          <w:rFonts w:ascii="Arial" w:hAnsi="Arial" w:cs="Arial"/>
          <w:sz w:val="20"/>
          <w:szCs w:val="20"/>
        </w:rPr>
        <w:t xml:space="preserve"> seconded the motion. The motion was unanimously approved.</w:t>
      </w:r>
    </w:p>
    <w:p w:rsidR="000248C9" w:rsidRDefault="000248C9" w:rsidP="000248C9">
      <w:pPr>
        <w:ind w:left="360"/>
        <w:rPr>
          <w:rFonts w:ascii="Arial" w:hAnsi="Arial" w:cs="Arial"/>
          <w:b/>
          <w:sz w:val="20"/>
          <w:szCs w:val="20"/>
        </w:rPr>
      </w:pPr>
    </w:p>
    <w:p w:rsidR="00420A22" w:rsidRDefault="00420A22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9A6B33" w:rsidRPr="009A6B33" w:rsidRDefault="007C7260" w:rsidP="007C7260">
      <w:pPr>
        <w:pStyle w:val="ListParagraph"/>
        <w:spacing w:before="120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02392E">
        <w:rPr>
          <w:rFonts w:ascii="Arial" w:hAnsi="Arial" w:cs="Arial"/>
          <w:sz w:val="20"/>
          <w:szCs w:val="20"/>
        </w:rPr>
        <w:t>March 21, 2018 3:00-4:30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12675F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Harrington</w:t>
      </w:r>
      <w:r w:rsidR="00A11374">
        <w:rPr>
          <w:rFonts w:ascii="Arial" w:hAnsi="Arial" w:cs="Arial"/>
          <w:sz w:val="20"/>
          <w:szCs w:val="20"/>
        </w:rPr>
        <w:t xml:space="preserve"> </w:t>
      </w:r>
      <w:r w:rsidR="006214FF" w:rsidRPr="00EA5931">
        <w:rPr>
          <w:rFonts w:ascii="Arial" w:hAnsi="Arial" w:cs="Arial"/>
          <w:sz w:val="20"/>
          <w:szCs w:val="20"/>
        </w:rPr>
        <w:t>motioned to adjourn;</w:t>
      </w:r>
      <w:r>
        <w:rPr>
          <w:rFonts w:ascii="Arial" w:hAnsi="Arial" w:cs="Arial"/>
          <w:sz w:val="20"/>
          <w:szCs w:val="20"/>
        </w:rPr>
        <w:t xml:space="preserve"> Rene Petit</w:t>
      </w:r>
      <w:r w:rsidR="006214FF" w:rsidRPr="00EA5931">
        <w:rPr>
          <w:rFonts w:ascii="Arial" w:hAnsi="Arial" w:cs="Arial"/>
          <w:sz w:val="20"/>
          <w:szCs w:val="20"/>
        </w:rPr>
        <w:t xml:space="preserve"> seconded the motion.  The motion was unanimously </w:t>
      </w:r>
      <w:r w:rsidR="006214FF">
        <w:rPr>
          <w:rFonts w:ascii="Arial" w:hAnsi="Arial" w:cs="Arial"/>
          <w:sz w:val="20"/>
          <w:szCs w:val="20"/>
        </w:rPr>
        <w:t>a</w:t>
      </w:r>
      <w:r w:rsidR="006214FF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6214FF">
        <w:rPr>
          <w:rFonts w:ascii="Arial" w:hAnsi="Arial" w:cs="Arial"/>
          <w:sz w:val="20"/>
          <w:szCs w:val="20"/>
        </w:rPr>
        <w:t xml:space="preserve">adjourned at approximately </w:t>
      </w:r>
      <w:r>
        <w:rPr>
          <w:rFonts w:ascii="Arial" w:hAnsi="Arial" w:cs="Arial"/>
          <w:sz w:val="20"/>
          <w:szCs w:val="20"/>
        </w:rPr>
        <w:t>4:20</w:t>
      </w:r>
      <w:r w:rsidR="006214FF">
        <w:rPr>
          <w:rFonts w:ascii="Arial" w:hAnsi="Arial" w:cs="Arial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>Student Representatives: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Minutes recorded by </w:t>
      </w:r>
      <w:r w:rsidR="00EA51C6">
        <w:rPr>
          <w:rFonts w:ascii="Arial" w:hAnsi="Arial" w:cs="Arial"/>
          <w:i/>
          <w:sz w:val="14"/>
          <w:szCs w:val="16"/>
        </w:rPr>
        <w:t>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813167">
      <w:rPr>
        <w:rFonts w:ascii="Arial" w:hAnsi="Arial" w:cs="Arial"/>
        <w:sz w:val="18"/>
        <w:szCs w:val="18"/>
      </w:rPr>
      <w:t>March 14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</w:t>
    </w:r>
    <w:r w:rsidR="00813167">
      <w:rPr>
        <w:rFonts w:ascii="Arial" w:hAnsi="Arial" w:cs="Arial"/>
        <w:sz w:val="18"/>
        <w:szCs w:val="18"/>
      </w:rPr>
      <w:t>2018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392E"/>
    <w:rsid w:val="00024648"/>
    <w:rsid w:val="000247A4"/>
    <w:rsid w:val="000248C9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185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4B22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2675F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510D"/>
    <w:rsid w:val="0014718E"/>
    <w:rsid w:val="00147A95"/>
    <w:rsid w:val="0015040A"/>
    <w:rsid w:val="00151F2D"/>
    <w:rsid w:val="00152CF8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B83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1D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3E8A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36FA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5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4EB8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0A22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44A0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A74A7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4F0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4FF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C7260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167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B6FE8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054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6B33"/>
    <w:rsid w:val="009A7D7D"/>
    <w:rsid w:val="009A7E72"/>
    <w:rsid w:val="009B2D25"/>
    <w:rsid w:val="009B387F"/>
    <w:rsid w:val="009B553D"/>
    <w:rsid w:val="009B6070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374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A6891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276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062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2F28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2337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5C3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597E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1C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06737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1EDE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660D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3ABB21B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table" w:styleId="TableGridLight">
    <w:name w:val="Grid Table Light"/>
    <w:basedOn w:val="TableNormal"/>
    <w:uiPriority w:val="40"/>
    <w:rsid w:val="007C72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95AC-0B5A-4D6A-851D-0C15CCAD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5</cp:revision>
  <cp:lastPrinted>2015-11-17T21:39:00Z</cp:lastPrinted>
  <dcterms:created xsi:type="dcterms:W3CDTF">2018-03-19T20:08:00Z</dcterms:created>
  <dcterms:modified xsi:type="dcterms:W3CDTF">2019-10-09T20:46:00Z</dcterms:modified>
</cp:coreProperties>
</file>